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599A" w14:textId="77777777" w:rsidR="00457448" w:rsidRDefault="00457448" w:rsidP="00DF074E">
      <w:pPr>
        <w:spacing w:before="840"/>
        <w:ind w:left="1134"/>
        <w:rPr>
          <w:rFonts w:ascii="Open Sans" w:hAnsi="Open Sans" w:cs="Open Sans"/>
          <w:b/>
          <w:bCs/>
          <w:color w:val="FFFFFF" w:themeColor="background1"/>
          <w:sz w:val="40"/>
          <w:szCs w:val="40"/>
        </w:rPr>
      </w:pPr>
      <w:r w:rsidRPr="00DF074E">
        <w:rPr>
          <w:rFonts w:ascii="Open Sans" w:hAnsi="Open Sans" w:cs="Open Sans"/>
          <w:b/>
          <w:bCs/>
          <w:noProof/>
          <w:color w:val="FFFFFF" w:themeColor="background1"/>
        </w:rPr>
        <w:drawing>
          <wp:anchor distT="0" distB="0" distL="114300" distR="114300" simplePos="0" relativeHeight="251658240" behindDoc="1" locked="1" layoutInCell="1" allowOverlap="1" wp14:anchorId="697B3F20" wp14:editId="428DD54B">
            <wp:simplePos x="0" y="0"/>
            <wp:positionH relativeFrom="margin">
              <wp:align>right</wp:align>
            </wp:positionH>
            <wp:positionV relativeFrom="page">
              <wp:align>bottom</wp:align>
            </wp:positionV>
            <wp:extent cx="7555865" cy="1069149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page">
              <wp14:pctWidth>0</wp14:pctWidth>
            </wp14:sizeRelH>
            <wp14:sizeRelV relativeFrom="page">
              <wp14:pctHeight>0</wp14:pctHeight>
            </wp14:sizeRelV>
          </wp:anchor>
        </w:drawing>
      </w:r>
      <w:r w:rsidR="007878BB" w:rsidRPr="00DF074E">
        <w:rPr>
          <w:rFonts w:ascii="Open Sans" w:hAnsi="Open Sans" w:cs="Open Sans"/>
          <w:b/>
          <w:bCs/>
          <w:color w:val="FFFFFF" w:themeColor="background1"/>
          <w:sz w:val="40"/>
          <w:szCs w:val="40"/>
        </w:rPr>
        <w:t>&lt;&lt;company name&gt;&gt;</w:t>
      </w:r>
    </w:p>
    <w:p w14:paraId="5784343F" w14:textId="04FC5B77" w:rsidR="00DF074E" w:rsidRDefault="00DF074E" w:rsidP="00E83DA7">
      <w:pPr>
        <w:pStyle w:val="Leadin"/>
        <w:spacing w:before="1680" w:after="240"/>
        <w:ind w:left="1134" w:right="1134"/>
        <w:rPr>
          <w:rFonts w:ascii="Open Sans SemiBold" w:hAnsi="Open Sans SemiBold" w:cs="Open Sans SemiBold"/>
          <w:color w:val="343433"/>
          <w:sz w:val="28"/>
          <w:lang w:eastAsia="en-US"/>
        </w:rPr>
      </w:pPr>
      <w:r w:rsidRPr="00DF074E">
        <w:rPr>
          <w:rFonts w:ascii="Open Sans SemiBold" w:hAnsi="Open Sans SemiBold" w:cs="Open Sans SemiBold"/>
          <w:color w:val="343433"/>
          <w:sz w:val="28"/>
          <w:lang w:eastAsia="en-US"/>
        </w:rPr>
        <w:t>This policy regulates the correct handling of keys in conjunction with electronic key cabinets. This includes issuance, control, storage, permissions, and management.</w:t>
      </w:r>
    </w:p>
    <w:p w14:paraId="05D543C9" w14:textId="77777777" w:rsidR="00DF074E" w:rsidRDefault="00DF074E" w:rsidP="00DF074E">
      <w:pPr>
        <w:pStyle w:val="Headingstyle2"/>
        <w:numPr>
          <w:ilvl w:val="0"/>
          <w:numId w:val="1"/>
        </w:numPr>
        <w:sectPr w:rsidR="00DF074E" w:rsidSect="00F740A7">
          <w:pgSz w:w="11906" w:h="16838"/>
          <w:pgMar w:top="0" w:right="0" w:bottom="567" w:left="0" w:header="709" w:footer="709" w:gutter="0"/>
          <w:cols w:space="708"/>
          <w:docGrid w:linePitch="360"/>
        </w:sectPr>
      </w:pPr>
    </w:p>
    <w:p w14:paraId="619622E6" w14:textId="77777777" w:rsidR="00DF074E" w:rsidRPr="00E83DA7" w:rsidRDefault="00DF074E" w:rsidP="00F740A7">
      <w:pPr>
        <w:pStyle w:val="bluesubheadnew"/>
        <w:ind w:right="1417"/>
      </w:pPr>
      <w:r w:rsidRPr="00E83DA7">
        <w:t xml:space="preserve">Authority and </w:t>
      </w:r>
      <w:r w:rsidRPr="00660668">
        <w:t>Responsibility</w:t>
      </w:r>
    </w:p>
    <w:p w14:paraId="57C5CA30" w14:textId="77777777" w:rsidR="00DF074E" w:rsidRPr="00F740A7" w:rsidRDefault="00DF074E" w:rsidP="00F740A7">
      <w:pPr>
        <w:pStyle w:val="Paragraph"/>
        <w:numPr>
          <w:ilvl w:val="0"/>
          <w:numId w:val="13"/>
        </w:numPr>
        <w:spacing w:line="276" w:lineRule="auto"/>
        <w:ind w:left="1531" w:right="1417"/>
        <w:rPr>
          <w:sz w:val="18"/>
          <w:szCs w:val="18"/>
          <w:lang w:eastAsia="en-US"/>
        </w:rPr>
      </w:pPr>
      <w:r w:rsidRPr="00F740A7">
        <w:rPr>
          <w:sz w:val="18"/>
          <w:szCs w:val="18"/>
          <w:lang w:eastAsia="en-US"/>
        </w:rPr>
        <w:t xml:space="preserve">&lt;&lt;DEPARTMENT NAME&gt;&gt; is responsible for maintaining control of the organization’s keys. </w:t>
      </w:r>
      <w:r w:rsidR="00E83DA7" w:rsidRPr="00F740A7">
        <w:rPr>
          <w:sz w:val="18"/>
          <w:szCs w:val="18"/>
          <w:lang w:eastAsia="en-US"/>
        </w:rPr>
        <w:br/>
      </w:r>
      <w:r w:rsidRPr="00F740A7">
        <w:rPr>
          <w:sz w:val="18"/>
          <w:szCs w:val="18"/>
          <w:lang w:eastAsia="en-US"/>
        </w:rPr>
        <w:t>This includes:</w:t>
      </w:r>
    </w:p>
    <w:p w14:paraId="59EA7E36" w14:textId="058CC8B4" w:rsidR="00DF074E" w:rsidRPr="00F740A7" w:rsidRDefault="00DF074E" w:rsidP="00F740A7">
      <w:pPr>
        <w:pStyle w:val="Paragraph"/>
        <w:numPr>
          <w:ilvl w:val="0"/>
          <w:numId w:val="10"/>
        </w:numPr>
        <w:spacing w:line="276" w:lineRule="auto"/>
        <w:ind w:left="1871" w:right="1417"/>
        <w:rPr>
          <w:sz w:val="18"/>
          <w:szCs w:val="18"/>
          <w:lang w:eastAsia="en-US"/>
        </w:rPr>
      </w:pPr>
      <w:r w:rsidRPr="00F740A7">
        <w:rPr>
          <w:sz w:val="18"/>
          <w:szCs w:val="18"/>
          <w:lang w:eastAsia="en-US"/>
        </w:rPr>
        <w:t>Maintaining all key records (reports and audit trails)</w:t>
      </w:r>
    </w:p>
    <w:p w14:paraId="13F8B13D" w14:textId="77777777" w:rsidR="00DF074E" w:rsidRPr="00F740A7" w:rsidRDefault="00DF074E" w:rsidP="00F740A7">
      <w:pPr>
        <w:pStyle w:val="Paragraph"/>
        <w:numPr>
          <w:ilvl w:val="0"/>
          <w:numId w:val="10"/>
        </w:numPr>
        <w:spacing w:line="276" w:lineRule="auto"/>
        <w:ind w:left="1871" w:right="1417"/>
        <w:rPr>
          <w:sz w:val="18"/>
          <w:szCs w:val="18"/>
          <w:lang w:eastAsia="en-US"/>
        </w:rPr>
      </w:pPr>
      <w:r w:rsidRPr="00F740A7">
        <w:rPr>
          <w:sz w:val="18"/>
          <w:szCs w:val="18"/>
          <w:lang w:eastAsia="en-US"/>
        </w:rPr>
        <w:t>Cutting keys</w:t>
      </w:r>
    </w:p>
    <w:p w14:paraId="46B43FE9" w14:textId="77777777" w:rsidR="00DF074E" w:rsidRPr="00F740A7" w:rsidRDefault="00DF074E" w:rsidP="00F740A7">
      <w:pPr>
        <w:pStyle w:val="Paragraph"/>
        <w:numPr>
          <w:ilvl w:val="0"/>
          <w:numId w:val="10"/>
        </w:numPr>
        <w:spacing w:line="276" w:lineRule="auto"/>
        <w:ind w:left="1871" w:right="1417"/>
        <w:rPr>
          <w:sz w:val="18"/>
          <w:szCs w:val="18"/>
          <w:lang w:eastAsia="en-US"/>
        </w:rPr>
      </w:pPr>
      <w:r w:rsidRPr="00F740A7">
        <w:rPr>
          <w:sz w:val="18"/>
          <w:szCs w:val="18"/>
          <w:lang w:eastAsia="en-US"/>
        </w:rPr>
        <w:t>Assigning keys to relevant personnel, whether it be on a permanent or as-needed basis</w:t>
      </w:r>
    </w:p>
    <w:p w14:paraId="0C04A3D1" w14:textId="1E73C9E1" w:rsidR="00DF074E" w:rsidRPr="00F740A7" w:rsidRDefault="00DF074E" w:rsidP="00F740A7">
      <w:pPr>
        <w:pStyle w:val="Paragraph"/>
        <w:numPr>
          <w:ilvl w:val="0"/>
          <w:numId w:val="10"/>
        </w:numPr>
        <w:spacing w:line="276" w:lineRule="auto"/>
        <w:ind w:left="1871" w:right="1417"/>
        <w:rPr>
          <w:sz w:val="18"/>
          <w:szCs w:val="18"/>
          <w:lang w:eastAsia="en-US"/>
        </w:rPr>
      </w:pPr>
      <w:r w:rsidRPr="00F740A7">
        <w:rPr>
          <w:sz w:val="18"/>
          <w:szCs w:val="18"/>
          <w:lang w:eastAsia="en-US"/>
        </w:rPr>
        <w:t>Auditing keys</w:t>
      </w:r>
      <w:r w:rsidR="00D91D6D">
        <w:rPr>
          <w:sz w:val="18"/>
          <w:szCs w:val="18"/>
          <w:lang w:eastAsia="en-US"/>
        </w:rPr>
        <w:t xml:space="preserve">, </w:t>
      </w:r>
      <w:r w:rsidRPr="00F740A7">
        <w:rPr>
          <w:sz w:val="18"/>
          <w:szCs w:val="18"/>
          <w:lang w:eastAsia="en-US"/>
        </w:rPr>
        <w:t xml:space="preserve">key usage and monitoring </w:t>
      </w:r>
      <w:r w:rsidR="00D91D6D">
        <w:rPr>
          <w:sz w:val="18"/>
          <w:szCs w:val="18"/>
          <w:lang w:eastAsia="en-US"/>
        </w:rPr>
        <w:t>a software dashboard (if available).</w:t>
      </w:r>
    </w:p>
    <w:p w14:paraId="290D380F" w14:textId="77777777" w:rsidR="00DF074E" w:rsidRPr="00F740A7" w:rsidRDefault="00DF074E" w:rsidP="00F740A7">
      <w:pPr>
        <w:pStyle w:val="Paragraph"/>
        <w:numPr>
          <w:ilvl w:val="0"/>
          <w:numId w:val="10"/>
        </w:numPr>
        <w:spacing w:line="276" w:lineRule="auto"/>
        <w:ind w:left="1871" w:right="1417"/>
        <w:rPr>
          <w:sz w:val="18"/>
          <w:szCs w:val="18"/>
          <w:lang w:eastAsia="en-US"/>
        </w:rPr>
      </w:pPr>
      <w:r w:rsidRPr="00F740A7">
        <w:rPr>
          <w:sz w:val="18"/>
          <w:szCs w:val="18"/>
          <w:lang w:eastAsia="en-US"/>
        </w:rPr>
        <w:t xml:space="preserve">Setting up alarms and notifications so that administrators are alerted </w:t>
      </w:r>
      <w:r w:rsidRPr="00F740A7">
        <w:rPr>
          <w:sz w:val="18"/>
          <w:szCs w:val="18"/>
          <w:lang w:eastAsia="en-US"/>
        </w:rPr>
        <w:softHyphen/>
        <w:t>– via real-time email and SMS alerts – when keys are returned on time</w:t>
      </w:r>
    </w:p>
    <w:p w14:paraId="7B2C5496" w14:textId="77777777" w:rsidR="00DF074E" w:rsidRPr="00F740A7" w:rsidRDefault="00DF074E" w:rsidP="00F740A7">
      <w:pPr>
        <w:pStyle w:val="ListParagraph"/>
        <w:numPr>
          <w:ilvl w:val="0"/>
          <w:numId w:val="10"/>
        </w:numPr>
        <w:spacing w:after="240" w:line="276" w:lineRule="auto"/>
        <w:ind w:left="1871" w:right="1417" w:hanging="357"/>
        <w:rPr>
          <w:rFonts w:ascii="Open Sans" w:hAnsi="Open Sans" w:cs="Open Sans"/>
          <w:sz w:val="18"/>
          <w:szCs w:val="18"/>
        </w:rPr>
      </w:pPr>
      <w:r w:rsidRPr="00F740A7">
        <w:rPr>
          <w:rFonts w:ascii="Open Sans" w:hAnsi="Open Sans" w:cs="Open Sans"/>
          <w:sz w:val="18"/>
          <w:szCs w:val="18"/>
        </w:rPr>
        <w:t>Establishing maximum time frame for keys to be out of their cabinets</w:t>
      </w:r>
    </w:p>
    <w:p w14:paraId="6EB60715" w14:textId="77777777" w:rsidR="00DF074E" w:rsidRPr="00F740A7" w:rsidRDefault="00DF074E" w:rsidP="00F740A7">
      <w:pPr>
        <w:pStyle w:val="Paragraph"/>
        <w:numPr>
          <w:ilvl w:val="0"/>
          <w:numId w:val="13"/>
        </w:numPr>
        <w:spacing w:line="276" w:lineRule="auto"/>
        <w:ind w:left="1531" w:right="1417"/>
        <w:rPr>
          <w:sz w:val="18"/>
          <w:szCs w:val="18"/>
          <w:lang w:eastAsia="en-US"/>
        </w:rPr>
      </w:pPr>
      <w:r w:rsidRPr="00F740A7">
        <w:rPr>
          <w:sz w:val="18"/>
          <w:szCs w:val="18"/>
          <w:lang w:eastAsia="en-US"/>
        </w:rPr>
        <w:t>The purpose of these controls is to ensure safety and security for the &lt;&lt;ORGANIZATION&gt;&gt;.</w:t>
      </w:r>
    </w:p>
    <w:p w14:paraId="583AB5ED" w14:textId="77777777" w:rsidR="00DF074E" w:rsidRPr="00F740A7" w:rsidRDefault="00DF074E" w:rsidP="00F740A7">
      <w:pPr>
        <w:pStyle w:val="Paragraph"/>
        <w:numPr>
          <w:ilvl w:val="0"/>
          <w:numId w:val="13"/>
        </w:numPr>
        <w:spacing w:line="276" w:lineRule="auto"/>
        <w:ind w:left="1531" w:right="1417"/>
        <w:rPr>
          <w:sz w:val="18"/>
          <w:szCs w:val="18"/>
          <w:lang w:eastAsia="en-US"/>
        </w:rPr>
      </w:pPr>
      <w:r w:rsidRPr="00F740A7">
        <w:rPr>
          <w:sz w:val="18"/>
          <w:szCs w:val="18"/>
          <w:lang w:eastAsia="en-US"/>
        </w:rPr>
        <w:t xml:space="preserve">&lt;&lt;DEPARTMENT NAME&gt;&gt; will be responsible for costs incurred to secure an area if a key is lost. </w:t>
      </w:r>
    </w:p>
    <w:p w14:paraId="5F622454" w14:textId="77777777" w:rsidR="00DF074E" w:rsidRPr="00F740A7" w:rsidRDefault="00DF074E" w:rsidP="00F740A7">
      <w:pPr>
        <w:pStyle w:val="Paragraph"/>
        <w:numPr>
          <w:ilvl w:val="0"/>
          <w:numId w:val="13"/>
        </w:numPr>
        <w:spacing w:line="276" w:lineRule="auto"/>
        <w:ind w:left="1531" w:right="1417"/>
        <w:rPr>
          <w:sz w:val="18"/>
          <w:szCs w:val="18"/>
          <w:lang w:eastAsia="en-US"/>
        </w:rPr>
      </w:pPr>
      <w:r w:rsidRPr="00F740A7">
        <w:rPr>
          <w:sz w:val="18"/>
          <w:szCs w:val="18"/>
          <w:lang w:eastAsia="en-US"/>
        </w:rPr>
        <w:t>Each department is responsible for immediately reporting lost keys and for returning keys to &lt;&lt;DEPARTMENT NAME&gt;&gt; when they are no longer needed.</w:t>
      </w:r>
    </w:p>
    <w:p w14:paraId="5318A58C" w14:textId="77777777" w:rsidR="00DF074E" w:rsidRPr="00F740A7" w:rsidRDefault="00DF074E" w:rsidP="00F740A7">
      <w:pPr>
        <w:pStyle w:val="Paragraph"/>
        <w:numPr>
          <w:ilvl w:val="0"/>
          <w:numId w:val="13"/>
        </w:numPr>
        <w:spacing w:line="276" w:lineRule="auto"/>
        <w:ind w:left="1531" w:right="1417"/>
        <w:rPr>
          <w:sz w:val="18"/>
          <w:szCs w:val="18"/>
          <w:lang w:eastAsia="en-US"/>
        </w:rPr>
      </w:pPr>
      <w:r w:rsidRPr="00F740A7">
        <w:rPr>
          <w:sz w:val="18"/>
          <w:szCs w:val="18"/>
          <w:lang w:eastAsia="en-US"/>
        </w:rPr>
        <w:t>All keys remain the property of the &lt;&lt;ORGANIZATION&gt;&gt;.</w:t>
      </w:r>
    </w:p>
    <w:p w14:paraId="7393CF70" w14:textId="77777777" w:rsidR="00DF074E" w:rsidRDefault="00DF074E" w:rsidP="00F740A7">
      <w:pPr>
        <w:pStyle w:val="bluesubheadnew"/>
        <w:ind w:right="1417"/>
      </w:pPr>
      <w:r>
        <w:t>Permanent Allocation</w:t>
      </w:r>
    </w:p>
    <w:p w14:paraId="0889E4E4" w14:textId="4D51B972" w:rsidR="00DF074E" w:rsidRPr="00F740A7" w:rsidRDefault="00DF074E" w:rsidP="00F740A7">
      <w:pPr>
        <w:pStyle w:val="Paragraph"/>
        <w:numPr>
          <w:ilvl w:val="0"/>
          <w:numId w:val="11"/>
        </w:numPr>
        <w:spacing w:line="276" w:lineRule="auto"/>
        <w:ind w:left="1531" w:right="1417"/>
        <w:rPr>
          <w:sz w:val="18"/>
          <w:szCs w:val="18"/>
          <w:lang w:eastAsia="en-US"/>
        </w:rPr>
      </w:pPr>
      <w:r w:rsidRPr="00F740A7">
        <w:rPr>
          <w:sz w:val="18"/>
          <w:szCs w:val="18"/>
          <w:lang w:eastAsia="en-US"/>
        </w:rPr>
        <w:t>Keys are to be allocated as needed at &lt;&lt;ORGANIZATION&gt;&gt;’s discretion, guided by this policy</w:t>
      </w:r>
      <w:r w:rsidR="00D91D6D">
        <w:rPr>
          <w:sz w:val="18"/>
          <w:szCs w:val="18"/>
          <w:lang w:eastAsia="en-US"/>
        </w:rPr>
        <w:t xml:space="preserve">. </w:t>
      </w:r>
    </w:p>
    <w:p w14:paraId="2D1EB334" w14:textId="77777777" w:rsidR="00DF074E" w:rsidRPr="00F740A7" w:rsidRDefault="00DF074E" w:rsidP="00F740A7">
      <w:pPr>
        <w:pStyle w:val="Paragraph"/>
        <w:numPr>
          <w:ilvl w:val="0"/>
          <w:numId w:val="11"/>
        </w:numPr>
        <w:spacing w:line="276" w:lineRule="auto"/>
        <w:ind w:left="1531" w:right="1417"/>
        <w:rPr>
          <w:sz w:val="18"/>
          <w:szCs w:val="18"/>
          <w:lang w:eastAsia="en-US"/>
        </w:rPr>
      </w:pPr>
      <w:r w:rsidRPr="00F740A7">
        <w:rPr>
          <w:sz w:val="18"/>
          <w:szCs w:val="18"/>
          <w:lang w:eastAsia="en-US"/>
        </w:rPr>
        <w:t xml:space="preserve">&lt;&lt;DEPARTMENT NAME&gt;&gt; has the authority to make exceptions to this and allocate keys to individuals </w:t>
      </w:r>
      <w:r w:rsidR="00740E3D">
        <w:rPr>
          <w:sz w:val="18"/>
          <w:szCs w:val="18"/>
          <w:lang w:eastAsia="en-US"/>
        </w:rPr>
        <w:br/>
      </w:r>
      <w:r w:rsidRPr="00F740A7">
        <w:rPr>
          <w:sz w:val="18"/>
          <w:szCs w:val="18"/>
          <w:lang w:eastAsia="en-US"/>
        </w:rPr>
        <w:t xml:space="preserve">on a permanent basis. </w:t>
      </w:r>
    </w:p>
    <w:p w14:paraId="0DCDAA76" w14:textId="77777777" w:rsidR="00DF074E" w:rsidRPr="00F740A7" w:rsidRDefault="00DF074E" w:rsidP="00F740A7">
      <w:pPr>
        <w:pStyle w:val="Paragraph"/>
        <w:numPr>
          <w:ilvl w:val="0"/>
          <w:numId w:val="11"/>
        </w:numPr>
        <w:spacing w:line="276" w:lineRule="auto"/>
        <w:ind w:left="1531" w:right="1417"/>
        <w:rPr>
          <w:sz w:val="18"/>
          <w:szCs w:val="18"/>
          <w:lang w:eastAsia="en-US"/>
        </w:rPr>
      </w:pPr>
      <w:r w:rsidRPr="00F740A7">
        <w:rPr>
          <w:sz w:val="18"/>
          <w:szCs w:val="18"/>
          <w:lang w:eastAsia="en-US"/>
        </w:rPr>
        <w:t xml:space="preserve">All keys issued on a permanent basis must remain in the possession of the person to whom they are issued. </w:t>
      </w:r>
    </w:p>
    <w:p w14:paraId="261118CE" w14:textId="77777777" w:rsidR="00DF074E" w:rsidRPr="00F740A7" w:rsidRDefault="00DF074E" w:rsidP="00F740A7">
      <w:pPr>
        <w:pStyle w:val="Paragraph"/>
        <w:numPr>
          <w:ilvl w:val="0"/>
          <w:numId w:val="11"/>
        </w:numPr>
        <w:spacing w:line="276" w:lineRule="auto"/>
        <w:ind w:left="1531" w:right="1417"/>
        <w:rPr>
          <w:sz w:val="18"/>
          <w:szCs w:val="18"/>
          <w:lang w:eastAsia="en-US"/>
        </w:rPr>
      </w:pPr>
      <w:r w:rsidRPr="00F740A7">
        <w:rPr>
          <w:sz w:val="18"/>
          <w:szCs w:val="18"/>
          <w:lang w:eastAsia="en-US"/>
        </w:rPr>
        <w:t xml:space="preserve">These keys are the responsibility of the person to whom they are issued. </w:t>
      </w:r>
    </w:p>
    <w:p w14:paraId="78F1698E" w14:textId="77777777" w:rsidR="00DF074E" w:rsidRDefault="00DF074E" w:rsidP="00F740A7">
      <w:pPr>
        <w:pStyle w:val="bluesubheadnew"/>
        <w:ind w:right="1417"/>
      </w:pPr>
      <w:r>
        <w:t>Temporary Allocation</w:t>
      </w:r>
    </w:p>
    <w:p w14:paraId="606B5ACE" w14:textId="53443004" w:rsidR="00DF074E" w:rsidRPr="00F740A7" w:rsidRDefault="00DF074E" w:rsidP="00F740A7">
      <w:pPr>
        <w:pStyle w:val="Paragraph"/>
        <w:numPr>
          <w:ilvl w:val="0"/>
          <w:numId w:val="12"/>
        </w:numPr>
        <w:spacing w:line="276" w:lineRule="auto"/>
        <w:ind w:left="1531" w:right="1417"/>
        <w:rPr>
          <w:sz w:val="18"/>
          <w:szCs w:val="18"/>
          <w:lang w:eastAsia="en-US"/>
        </w:rPr>
      </w:pPr>
      <w:r w:rsidRPr="00F740A7">
        <w:rPr>
          <w:sz w:val="18"/>
          <w:szCs w:val="18"/>
          <w:lang w:eastAsia="en-US"/>
        </w:rPr>
        <w:t xml:space="preserve">Keys are allocated using the key management system and may be retrieved by authorized individuals. </w:t>
      </w:r>
    </w:p>
    <w:p w14:paraId="1187722C" w14:textId="77777777" w:rsidR="00DF074E" w:rsidRPr="00F740A7" w:rsidRDefault="00DF074E" w:rsidP="00F740A7">
      <w:pPr>
        <w:pStyle w:val="Paragraph"/>
        <w:numPr>
          <w:ilvl w:val="0"/>
          <w:numId w:val="12"/>
        </w:numPr>
        <w:spacing w:line="276" w:lineRule="auto"/>
        <w:ind w:left="1531" w:right="1417"/>
        <w:rPr>
          <w:sz w:val="18"/>
          <w:szCs w:val="18"/>
          <w:lang w:eastAsia="en-US"/>
        </w:rPr>
      </w:pPr>
      <w:r w:rsidRPr="00F740A7">
        <w:rPr>
          <w:sz w:val="18"/>
          <w:szCs w:val="18"/>
          <w:lang w:eastAsia="en-US"/>
        </w:rPr>
        <w:t>Keys are only to be allocated to staff for the length of time required to carry out a certain task.</w:t>
      </w:r>
    </w:p>
    <w:p w14:paraId="1433B397" w14:textId="77777777" w:rsidR="00DF074E" w:rsidRDefault="00DF074E" w:rsidP="00F740A7">
      <w:pPr>
        <w:pStyle w:val="Paragraph"/>
        <w:numPr>
          <w:ilvl w:val="0"/>
          <w:numId w:val="12"/>
        </w:numPr>
        <w:spacing w:line="276" w:lineRule="auto"/>
        <w:ind w:left="1531" w:right="1417"/>
        <w:rPr>
          <w:sz w:val="18"/>
          <w:szCs w:val="18"/>
          <w:lang w:eastAsia="en-US"/>
        </w:rPr>
      </w:pPr>
      <w:r w:rsidRPr="00F740A7">
        <w:rPr>
          <w:sz w:val="18"/>
          <w:szCs w:val="18"/>
          <w:lang w:eastAsia="en-US"/>
        </w:rPr>
        <w:t>All keys are to be returned before the allotted time is up.</w:t>
      </w:r>
    </w:p>
    <w:p w14:paraId="47D08F5E" w14:textId="77777777" w:rsidR="00FE1082" w:rsidRDefault="00FE1082" w:rsidP="00FE1082">
      <w:pPr>
        <w:pStyle w:val="Paragraph"/>
        <w:spacing w:line="276" w:lineRule="auto"/>
        <w:ind w:right="1417"/>
        <w:rPr>
          <w:sz w:val="18"/>
          <w:szCs w:val="18"/>
          <w:lang w:eastAsia="en-US"/>
        </w:rPr>
      </w:pPr>
    </w:p>
    <w:p w14:paraId="61A2AA5D" w14:textId="77777777" w:rsidR="00FE1082" w:rsidRDefault="00FE1082" w:rsidP="00FE1082">
      <w:pPr>
        <w:pStyle w:val="Paragraph"/>
        <w:spacing w:line="276" w:lineRule="auto"/>
        <w:ind w:right="1417"/>
        <w:rPr>
          <w:sz w:val="18"/>
          <w:szCs w:val="18"/>
          <w:lang w:eastAsia="en-US"/>
        </w:rPr>
      </w:pPr>
    </w:p>
    <w:p w14:paraId="08EA217B" w14:textId="77777777" w:rsidR="00FE1082" w:rsidRPr="00F740A7" w:rsidRDefault="00FE1082" w:rsidP="00FE1082">
      <w:pPr>
        <w:pStyle w:val="Paragraph"/>
        <w:spacing w:line="276" w:lineRule="auto"/>
        <w:ind w:right="1417"/>
        <w:rPr>
          <w:sz w:val="18"/>
          <w:szCs w:val="18"/>
          <w:lang w:eastAsia="en-US"/>
        </w:rPr>
      </w:pPr>
    </w:p>
    <w:p w14:paraId="4B8FCD41" w14:textId="4A415CEA" w:rsidR="00DF074E" w:rsidRDefault="00DF074E" w:rsidP="00F740A7">
      <w:pPr>
        <w:pStyle w:val="bluesubheadnew"/>
        <w:ind w:right="1417"/>
      </w:pPr>
      <w:r>
        <w:t>Accountability</w:t>
      </w:r>
    </w:p>
    <w:p w14:paraId="66C221D5" w14:textId="77777777" w:rsidR="00DF074E" w:rsidRPr="00F740A7" w:rsidRDefault="00DF074E" w:rsidP="00F740A7">
      <w:pPr>
        <w:pStyle w:val="Paragraph"/>
        <w:numPr>
          <w:ilvl w:val="0"/>
          <w:numId w:val="2"/>
        </w:numPr>
        <w:spacing w:line="276" w:lineRule="auto"/>
        <w:ind w:left="1531" w:right="1417"/>
        <w:rPr>
          <w:sz w:val="18"/>
          <w:szCs w:val="18"/>
          <w:lang w:eastAsia="en-US"/>
        </w:rPr>
      </w:pPr>
      <w:r w:rsidRPr="00F740A7">
        <w:rPr>
          <w:sz w:val="18"/>
          <w:szCs w:val="18"/>
          <w:lang w:eastAsia="en-US"/>
        </w:rPr>
        <w:t>All individuals (staff, administrators, contractors) are accountable for the keys assigned to them.</w:t>
      </w:r>
    </w:p>
    <w:p w14:paraId="4098E5CF" w14:textId="77777777" w:rsidR="00DF074E" w:rsidRPr="00F740A7" w:rsidRDefault="00DF074E" w:rsidP="00F740A7">
      <w:pPr>
        <w:pStyle w:val="Paragraph"/>
        <w:numPr>
          <w:ilvl w:val="0"/>
          <w:numId w:val="2"/>
        </w:numPr>
        <w:spacing w:line="276" w:lineRule="auto"/>
        <w:ind w:left="1531" w:right="1417"/>
        <w:rPr>
          <w:sz w:val="18"/>
          <w:szCs w:val="18"/>
          <w:lang w:eastAsia="en-US"/>
        </w:rPr>
      </w:pPr>
      <w:r w:rsidRPr="00F740A7">
        <w:rPr>
          <w:sz w:val="18"/>
          <w:szCs w:val="18"/>
          <w:lang w:eastAsia="en-US"/>
        </w:rPr>
        <w:t xml:space="preserve">When a person removes keys from a cabinet, they take charge of those keys – and must return those </w:t>
      </w:r>
      <w:r w:rsidR="00740E3D">
        <w:rPr>
          <w:sz w:val="18"/>
          <w:szCs w:val="18"/>
          <w:lang w:eastAsia="en-US"/>
        </w:rPr>
        <w:br/>
      </w:r>
      <w:r w:rsidRPr="00F740A7">
        <w:rPr>
          <w:sz w:val="18"/>
          <w:szCs w:val="18"/>
          <w:lang w:eastAsia="en-US"/>
        </w:rPr>
        <w:t>keys to the same cabinet after use.</w:t>
      </w:r>
    </w:p>
    <w:p w14:paraId="44B51296" w14:textId="77777777" w:rsidR="00DF074E" w:rsidRPr="00F740A7" w:rsidRDefault="00DF074E" w:rsidP="00F740A7">
      <w:pPr>
        <w:pStyle w:val="Paragraph"/>
        <w:numPr>
          <w:ilvl w:val="0"/>
          <w:numId w:val="2"/>
        </w:numPr>
        <w:spacing w:line="276" w:lineRule="auto"/>
        <w:ind w:left="1531" w:right="1417"/>
        <w:rPr>
          <w:sz w:val="18"/>
          <w:szCs w:val="18"/>
          <w:lang w:eastAsia="en-US"/>
        </w:rPr>
      </w:pPr>
      <w:r w:rsidRPr="00F740A7">
        <w:rPr>
          <w:sz w:val="18"/>
          <w:szCs w:val="18"/>
          <w:lang w:eastAsia="en-US"/>
        </w:rPr>
        <w:t>If a key is lost, the person responsible must report the key as lost to their department administrator immediately.</w:t>
      </w:r>
    </w:p>
    <w:p w14:paraId="7196DCE8" w14:textId="3AD78013" w:rsidR="00DF074E" w:rsidRDefault="00DF074E" w:rsidP="00F740A7">
      <w:pPr>
        <w:pStyle w:val="bluesubheadnew"/>
        <w:ind w:right="1417"/>
      </w:pPr>
      <w:r>
        <w:t>Location of keys</w:t>
      </w:r>
    </w:p>
    <w:p w14:paraId="43A59702" w14:textId="77777777" w:rsidR="00DF074E" w:rsidRPr="00F740A7" w:rsidRDefault="00DF074E" w:rsidP="00F740A7">
      <w:pPr>
        <w:pStyle w:val="Paragraph"/>
        <w:numPr>
          <w:ilvl w:val="0"/>
          <w:numId w:val="3"/>
        </w:numPr>
        <w:spacing w:line="276" w:lineRule="auto"/>
        <w:ind w:left="1531" w:right="1417"/>
        <w:rPr>
          <w:sz w:val="18"/>
          <w:szCs w:val="18"/>
          <w:lang w:eastAsia="en-US"/>
        </w:rPr>
      </w:pPr>
      <w:r w:rsidRPr="00F740A7">
        <w:rPr>
          <w:sz w:val="18"/>
          <w:szCs w:val="18"/>
          <w:lang w:eastAsia="en-US"/>
        </w:rPr>
        <w:t>Keys must not leave the site on which they are stored.</w:t>
      </w:r>
    </w:p>
    <w:p w14:paraId="429F02C4" w14:textId="77777777" w:rsidR="00DF074E" w:rsidRPr="00F740A7" w:rsidRDefault="00DF074E" w:rsidP="00F740A7">
      <w:pPr>
        <w:pStyle w:val="Paragraph"/>
        <w:numPr>
          <w:ilvl w:val="0"/>
          <w:numId w:val="3"/>
        </w:numPr>
        <w:spacing w:line="276" w:lineRule="auto"/>
        <w:ind w:left="1531" w:right="1417"/>
        <w:rPr>
          <w:sz w:val="18"/>
          <w:szCs w:val="18"/>
          <w:lang w:eastAsia="en-US"/>
        </w:rPr>
      </w:pPr>
      <w:r w:rsidRPr="00F740A7">
        <w:rPr>
          <w:sz w:val="18"/>
          <w:szCs w:val="18"/>
          <w:lang w:eastAsia="en-US"/>
        </w:rPr>
        <w:t>Keys must not be carried from one site to another.</w:t>
      </w:r>
    </w:p>
    <w:p w14:paraId="6939E747" w14:textId="77777777" w:rsidR="00DF074E" w:rsidRPr="00F740A7" w:rsidRDefault="00DF074E" w:rsidP="00F740A7">
      <w:pPr>
        <w:pStyle w:val="Paragraph"/>
        <w:numPr>
          <w:ilvl w:val="0"/>
          <w:numId w:val="3"/>
        </w:numPr>
        <w:spacing w:line="276" w:lineRule="auto"/>
        <w:ind w:left="1531" w:right="1417"/>
        <w:rPr>
          <w:sz w:val="18"/>
          <w:szCs w:val="18"/>
          <w:lang w:eastAsia="en-US"/>
        </w:rPr>
      </w:pPr>
      <w:r w:rsidRPr="00F740A7">
        <w:rPr>
          <w:sz w:val="18"/>
          <w:szCs w:val="18"/>
          <w:lang w:eastAsia="en-US"/>
        </w:rPr>
        <w:t>Keys must not be taken home.</w:t>
      </w:r>
    </w:p>
    <w:p w14:paraId="6D6A72F8" w14:textId="77777777" w:rsidR="00DF074E" w:rsidRPr="00F740A7" w:rsidRDefault="00DF074E" w:rsidP="00F740A7">
      <w:pPr>
        <w:pStyle w:val="Paragraph"/>
        <w:numPr>
          <w:ilvl w:val="0"/>
          <w:numId w:val="3"/>
        </w:numPr>
        <w:spacing w:line="276" w:lineRule="auto"/>
        <w:ind w:left="1531" w:right="1417"/>
        <w:rPr>
          <w:sz w:val="18"/>
          <w:szCs w:val="18"/>
          <w:lang w:eastAsia="en-US"/>
        </w:rPr>
      </w:pPr>
      <w:r w:rsidRPr="00F740A7">
        <w:rPr>
          <w:sz w:val="18"/>
          <w:szCs w:val="18"/>
          <w:lang w:eastAsia="en-US"/>
        </w:rPr>
        <w:t>Keys must not be held by staff or contractors outside of operating hours or shift hours.</w:t>
      </w:r>
    </w:p>
    <w:p w14:paraId="27C98EAE" w14:textId="77777777" w:rsidR="00DF074E" w:rsidRDefault="00DF074E" w:rsidP="00F740A7">
      <w:pPr>
        <w:pStyle w:val="bluesubheadnew"/>
        <w:ind w:right="1417"/>
      </w:pPr>
      <w:r>
        <w:t>Appropriate storage of keys</w:t>
      </w:r>
    </w:p>
    <w:p w14:paraId="7A7362FA" w14:textId="79F2EEFA" w:rsidR="00DF074E" w:rsidRPr="00F740A7" w:rsidRDefault="00DF074E" w:rsidP="00F740A7">
      <w:pPr>
        <w:pStyle w:val="Paragraph"/>
        <w:numPr>
          <w:ilvl w:val="0"/>
          <w:numId w:val="5"/>
        </w:numPr>
        <w:spacing w:line="276" w:lineRule="auto"/>
        <w:ind w:left="1531" w:right="1417"/>
        <w:rPr>
          <w:sz w:val="18"/>
          <w:szCs w:val="18"/>
          <w:lang w:eastAsia="en-US"/>
        </w:rPr>
      </w:pPr>
      <w:r w:rsidRPr="00F740A7">
        <w:rPr>
          <w:sz w:val="18"/>
          <w:szCs w:val="18"/>
          <w:lang w:eastAsia="en-US"/>
        </w:rPr>
        <w:t>When not in use, keys must be stored and secured in their assigned cabinets.</w:t>
      </w:r>
    </w:p>
    <w:p w14:paraId="37A912BF" w14:textId="77777777" w:rsidR="00DF074E" w:rsidRDefault="00DF074E" w:rsidP="00F740A7">
      <w:pPr>
        <w:pStyle w:val="bluesubheadnew"/>
        <w:ind w:right="1417"/>
      </w:pPr>
      <w:r>
        <w:t>24/7 management</w:t>
      </w:r>
    </w:p>
    <w:p w14:paraId="6C410206" w14:textId="77777777" w:rsidR="00DF074E" w:rsidRPr="00F740A7" w:rsidRDefault="00DF074E" w:rsidP="00F740A7">
      <w:pPr>
        <w:pStyle w:val="Paragraph"/>
        <w:numPr>
          <w:ilvl w:val="0"/>
          <w:numId w:val="4"/>
        </w:numPr>
        <w:spacing w:line="276" w:lineRule="auto"/>
        <w:ind w:left="1531" w:right="1417"/>
        <w:rPr>
          <w:sz w:val="18"/>
          <w:szCs w:val="18"/>
          <w:lang w:eastAsia="en-US"/>
        </w:rPr>
      </w:pPr>
      <w:r w:rsidRPr="00F740A7">
        <w:rPr>
          <w:sz w:val="18"/>
          <w:szCs w:val="18"/>
          <w:lang w:eastAsia="en-US"/>
        </w:rPr>
        <w:t xml:space="preserve">Administrators must allow for keys to be accessed at all times of the day, when they are needed by </w:t>
      </w:r>
      <w:r w:rsidR="00740E3D">
        <w:rPr>
          <w:sz w:val="18"/>
          <w:szCs w:val="18"/>
          <w:lang w:eastAsia="en-US"/>
        </w:rPr>
        <w:br/>
      </w:r>
      <w:r w:rsidRPr="00F740A7">
        <w:rPr>
          <w:sz w:val="18"/>
          <w:szCs w:val="18"/>
          <w:lang w:eastAsia="en-US"/>
        </w:rPr>
        <w:t>staff or contractors.</w:t>
      </w:r>
    </w:p>
    <w:p w14:paraId="14F79BD0" w14:textId="77777777" w:rsidR="00DF074E" w:rsidRPr="00F740A7" w:rsidRDefault="00DF074E" w:rsidP="00F740A7">
      <w:pPr>
        <w:pStyle w:val="Paragraph"/>
        <w:numPr>
          <w:ilvl w:val="0"/>
          <w:numId w:val="4"/>
        </w:numPr>
        <w:spacing w:line="276" w:lineRule="auto"/>
        <w:ind w:left="1531" w:right="1417"/>
        <w:rPr>
          <w:sz w:val="18"/>
          <w:szCs w:val="18"/>
          <w:lang w:eastAsia="en-US"/>
        </w:rPr>
      </w:pPr>
      <w:r w:rsidRPr="00F740A7">
        <w:rPr>
          <w:sz w:val="18"/>
          <w:szCs w:val="18"/>
          <w:lang w:eastAsia="en-US"/>
        </w:rPr>
        <w:t>Administrators must also allow for monitoring and auditing of keys at all times of the day.</w:t>
      </w:r>
    </w:p>
    <w:p w14:paraId="7A21494F" w14:textId="77777777" w:rsidR="00DF074E" w:rsidRDefault="00DF074E" w:rsidP="00F740A7">
      <w:pPr>
        <w:pStyle w:val="bluesubheadnew"/>
        <w:ind w:right="1417"/>
      </w:pPr>
      <w:r>
        <w:t>Message reminders</w:t>
      </w:r>
    </w:p>
    <w:p w14:paraId="6A06583A" w14:textId="77777777" w:rsidR="00DF074E" w:rsidRPr="00F740A7" w:rsidRDefault="00DF074E" w:rsidP="00F740A7">
      <w:pPr>
        <w:pStyle w:val="Paragraph"/>
        <w:numPr>
          <w:ilvl w:val="0"/>
          <w:numId w:val="6"/>
        </w:numPr>
        <w:spacing w:line="276" w:lineRule="auto"/>
        <w:ind w:left="1531" w:right="1417"/>
        <w:rPr>
          <w:sz w:val="18"/>
          <w:szCs w:val="18"/>
          <w:lang w:eastAsia="en-US"/>
        </w:rPr>
      </w:pPr>
      <w:r w:rsidRPr="00F740A7">
        <w:rPr>
          <w:sz w:val="18"/>
          <w:szCs w:val="18"/>
          <w:lang w:eastAsia="en-US"/>
        </w:rPr>
        <w:t>To assist staff, administrators and authorised contractors to follow key procedures, SMS and email reminders are to be implemented across all sites and cabinets.</w:t>
      </w:r>
    </w:p>
    <w:p w14:paraId="1073A514" w14:textId="77777777" w:rsidR="00DF074E" w:rsidRPr="00F740A7" w:rsidRDefault="00DF074E" w:rsidP="00F740A7">
      <w:pPr>
        <w:pStyle w:val="Paragraph"/>
        <w:numPr>
          <w:ilvl w:val="0"/>
          <w:numId w:val="6"/>
        </w:numPr>
        <w:spacing w:line="276" w:lineRule="auto"/>
        <w:ind w:left="1531" w:right="1417"/>
        <w:rPr>
          <w:sz w:val="18"/>
          <w:szCs w:val="18"/>
          <w:lang w:eastAsia="en-US"/>
        </w:rPr>
      </w:pPr>
      <w:r w:rsidRPr="00F740A7">
        <w:rPr>
          <w:sz w:val="18"/>
          <w:szCs w:val="18"/>
          <w:lang w:eastAsia="en-US"/>
        </w:rPr>
        <w:t xml:space="preserve">These messages will remind key holders which cabinet they retrieved the key from and the time it </w:t>
      </w:r>
      <w:r w:rsidR="00740E3D">
        <w:rPr>
          <w:sz w:val="18"/>
          <w:szCs w:val="18"/>
          <w:lang w:eastAsia="en-US"/>
        </w:rPr>
        <w:br/>
      </w:r>
      <w:r w:rsidRPr="00F740A7">
        <w:rPr>
          <w:sz w:val="18"/>
          <w:szCs w:val="18"/>
          <w:lang w:eastAsia="en-US"/>
        </w:rPr>
        <w:t>must be returned.</w:t>
      </w:r>
    </w:p>
    <w:p w14:paraId="3F90BB58" w14:textId="77777777" w:rsidR="00DF074E" w:rsidRPr="002A409C" w:rsidRDefault="00DF074E" w:rsidP="00F740A7">
      <w:pPr>
        <w:pStyle w:val="bluesubheadnew"/>
        <w:ind w:right="1417"/>
      </w:pPr>
      <w:r>
        <w:t>Remote management</w:t>
      </w:r>
    </w:p>
    <w:p w14:paraId="2E6FF8F6" w14:textId="77777777" w:rsidR="00DF074E" w:rsidRPr="00F740A7" w:rsidRDefault="00DF074E" w:rsidP="00F740A7">
      <w:pPr>
        <w:pStyle w:val="Paragraph"/>
        <w:numPr>
          <w:ilvl w:val="0"/>
          <w:numId w:val="7"/>
        </w:numPr>
        <w:spacing w:line="276" w:lineRule="auto"/>
        <w:ind w:left="1531" w:right="1417"/>
        <w:rPr>
          <w:sz w:val="18"/>
          <w:szCs w:val="18"/>
          <w:lang w:eastAsia="en-US"/>
        </w:rPr>
      </w:pPr>
      <w:r w:rsidRPr="00F740A7">
        <w:rPr>
          <w:sz w:val="18"/>
          <w:szCs w:val="18"/>
          <w:lang w:eastAsia="en-US"/>
        </w:rPr>
        <w:t>Recognizing the increasing focus on flexible working arrangements, administrators must be able to control all keys from anywhere in the world. This includes assigning and changing authorisations, setting SMS and email alerts, and accessing real-time analytics.</w:t>
      </w:r>
    </w:p>
    <w:p w14:paraId="18AEAE9D" w14:textId="77777777" w:rsidR="00DF074E" w:rsidRDefault="00DF074E" w:rsidP="00F740A7">
      <w:pPr>
        <w:pStyle w:val="bluesubheadnew"/>
        <w:ind w:right="1417"/>
      </w:pPr>
      <w:r>
        <w:t>Reporting</w:t>
      </w:r>
    </w:p>
    <w:p w14:paraId="006D8E30" w14:textId="77777777" w:rsidR="00DF074E" w:rsidRPr="00F740A7" w:rsidRDefault="00DF074E" w:rsidP="00F740A7">
      <w:pPr>
        <w:pStyle w:val="Paragraph"/>
        <w:numPr>
          <w:ilvl w:val="0"/>
          <w:numId w:val="8"/>
        </w:numPr>
        <w:spacing w:line="276" w:lineRule="auto"/>
        <w:ind w:left="1531" w:right="1417"/>
        <w:rPr>
          <w:sz w:val="18"/>
          <w:szCs w:val="18"/>
          <w:lang w:eastAsia="en-US"/>
        </w:rPr>
      </w:pPr>
      <w:r w:rsidRPr="00F740A7">
        <w:rPr>
          <w:sz w:val="18"/>
          <w:szCs w:val="18"/>
          <w:lang w:eastAsia="en-US"/>
        </w:rPr>
        <w:t>Administrators are expected to collect and issue accurate, automatic, electronic reports of key use and activity as required.</w:t>
      </w:r>
    </w:p>
    <w:p w14:paraId="05F4700D" w14:textId="77777777" w:rsidR="00DF074E" w:rsidRDefault="00DF074E" w:rsidP="00F740A7">
      <w:pPr>
        <w:pStyle w:val="bluesubheadnew"/>
        <w:ind w:right="1417"/>
      </w:pPr>
      <w:r>
        <w:t>Tamper-proof key rings</w:t>
      </w:r>
    </w:p>
    <w:p w14:paraId="0D7B6770" w14:textId="77C6F1BD" w:rsidR="006F6941" w:rsidRPr="00740E3D" w:rsidRDefault="00DF074E" w:rsidP="00740E3D">
      <w:pPr>
        <w:pStyle w:val="Paragraph"/>
        <w:numPr>
          <w:ilvl w:val="0"/>
          <w:numId w:val="9"/>
        </w:numPr>
        <w:spacing w:line="276" w:lineRule="auto"/>
        <w:ind w:left="1531" w:right="1417"/>
        <w:rPr>
          <w:sz w:val="18"/>
          <w:szCs w:val="18"/>
          <w:lang w:eastAsia="en-US"/>
        </w:rPr>
        <w:sectPr w:rsidR="006F6941" w:rsidRPr="00740E3D" w:rsidSect="00F740A7">
          <w:type w:val="continuous"/>
          <w:pgSz w:w="11906" w:h="16838"/>
          <w:pgMar w:top="1134" w:right="0" w:bottom="567" w:left="0" w:header="709" w:footer="709" w:gutter="0"/>
          <w:cols w:space="794"/>
          <w:docGrid w:linePitch="360"/>
        </w:sectPr>
      </w:pPr>
      <w:r w:rsidRPr="00F740A7">
        <w:rPr>
          <w:sz w:val="18"/>
          <w:szCs w:val="18"/>
          <w:lang w:eastAsia="en-US"/>
        </w:rPr>
        <w:t>To eliminate the possibility of keys being changed or substituted, all key rings used in conjunction with cabinets must be tamper-proo</w:t>
      </w:r>
      <w:r w:rsidR="00740E3D">
        <w:rPr>
          <w:sz w:val="18"/>
          <w:szCs w:val="18"/>
          <w:lang w:eastAsia="en-US"/>
        </w:rPr>
        <w:t>f.</w:t>
      </w:r>
    </w:p>
    <w:p w14:paraId="523BE1F3" w14:textId="5DCB79BA" w:rsidR="00DF074E" w:rsidRPr="00DF074E" w:rsidRDefault="00303ED3" w:rsidP="00740E3D">
      <w:pPr>
        <w:ind w:right="1417"/>
        <w:rPr>
          <w:rFonts w:ascii="Open Sans" w:hAnsi="Open Sans" w:cs="Open Sans"/>
          <w:sz w:val="40"/>
          <w:szCs w:val="40"/>
        </w:rPr>
      </w:pPr>
      <w:r>
        <w:rPr>
          <w:noProof/>
        </w:rPr>
        <w:lastRenderedPageBreak/>
        <w:drawing>
          <wp:anchor distT="0" distB="0" distL="114300" distR="114300" simplePos="0" relativeHeight="251661312" behindDoc="0" locked="1" layoutInCell="1" allowOverlap="1" wp14:anchorId="1038B50A" wp14:editId="1D3412BC">
            <wp:simplePos x="0" y="0"/>
            <wp:positionH relativeFrom="page">
              <wp:posOffset>18121630</wp:posOffset>
            </wp:positionH>
            <wp:positionV relativeFrom="page">
              <wp:posOffset>2576195</wp:posOffset>
            </wp:positionV>
            <wp:extent cx="7555865" cy="10691495"/>
            <wp:effectExtent l="0" t="0" r="6985" b="0"/>
            <wp:wrapNone/>
            <wp:docPr id="121131170" name="Picture 12113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r w:rsidR="00740E3D">
        <w:rPr>
          <w:noProof/>
        </w:rPr>
        <w:drawing>
          <wp:anchor distT="0" distB="0" distL="114300" distR="114300" simplePos="0" relativeHeight="251659264" behindDoc="1" locked="1" layoutInCell="1" allowOverlap="1" wp14:anchorId="6204AF9B" wp14:editId="6EEE1DF0">
            <wp:simplePos x="0" y="0"/>
            <wp:positionH relativeFrom="page">
              <wp:align>right</wp:align>
            </wp:positionH>
            <wp:positionV relativeFrom="margin">
              <wp:align>top</wp:align>
            </wp:positionV>
            <wp:extent cx="7555865" cy="1069149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p w14:paraId="5E5812EE" w14:textId="70641DA9" w:rsidR="00740E3D" w:rsidRPr="000E249F" w:rsidRDefault="004C7051" w:rsidP="004C7051">
      <w:pPr>
        <w:pStyle w:val="bluesubheadnew"/>
        <w:numPr>
          <w:ilvl w:val="0"/>
          <w:numId w:val="0"/>
        </w:numPr>
        <w:spacing w:before="2800"/>
      </w:pPr>
      <w:r>
        <w:t xml:space="preserve">                 </w:t>
      </w:r>
      <w:r w:rsidR="00740E3D">
        <w:t>This section is intended for all key holders to sign.</w:t>
      </w:r>
    </w:p>
    <w:p w14:paraId="73DB16D7" w14:textId="77777777" w:rsidR="00B00F5E" w:rsidRDefault="00740E3D" w:rsidP="00B00F5E">
      <w:pPr>
        <w:pStyle w:val="Paragraph"/>
        <w:spacing w:before="400"/>
        <w:ind w:left="1134" w:right="2268"/>
        <w:rPr>
          <w:i/>
          <w:iCs/>
          <w:lang w:eastAsia="en-US"/>
        </w:rPr>
      </w:pPr>
      <w:r>
        <w:rPr>
          <w:i/>
          <w:iCs/>
          <w:lang w:eastAsia="en-US"/>
        </w:rPr>
        <w:t xml:space="preserve">Please sign below to indicate that you have read, understand, </w:t>
      </w:r>
      <w:r w:rsidR="00B00F5E">
        <w:rPr>
          <w:i/>
          <w:iCs/>
          <w:lang w:eastAsia="en-US"/>
        </w:rPr>
        <w:br/>
      </w:r>
      <w:r>
        <w:rPr>
          <w:i/>
          <w:iCs/>
          <w:lang w:eastAsia="en-US"/>
        </w:rPr>
        <w:t>and agree to act in accordance with the above informati</w:t>
      </w:r>
      <w:r w:rsidR="00B00F5E">
        <w:rPr>
          <w:i/>
          <w:iCs/>
          <w:lang w:eastAsia="en-US"/>
        </w:rPr>
        <w:t>on.</w:t>
      </w:r>
    </w:p>
    <w:p w14:paraId="370822E7" w14:textId="77777777" w:rsidR="00B00F5E" w:rsidRPr="00B00F5E" w:rsidRDefault="00B00F5E" w:rsidP="00B00F5E">
      <w:pPr>
        <w:pStyle w:val="Paragraph"/>
        <w:spacing w:before="560" w:after="0"/>
        <w:ind w:left="1134" w:right="2268"/>
        <w:rPr>
          <w:b/>
          <w:bCs/>
          <w:lang w:eastAsia="en-US"/>
        </w:rPr>
      </w:pPr>
      <w:r w:rsidRPr="00B00F5E">
        <w:rPr>
          <w:b/>
          <w:bCs/>
          <w:lang w:eastAsia="en-US"/>
        </w:rPr>
        <w:t>Date:</w:t>
      </w:r>
    </w:p>
    <w:p w14:paraId="4E2FC7DE" w14:textId="77777777" w:rsidR="00B00F5E" w:rsidRDefault="00B00F5E" w:rsidP="00B00F5E">
      <w:pPr>
        <w:pStyle w:val="Paragraph"/>
        <w:spacing w:before="0"/>
        <w:ind w:left="1134" w:right="2268"/>
        <w:rPr>
          <w:i/>
          <w:iCs/>
          <w:lang w:eastAsia="en-US"/>
        </w:rPr>
      </w:pPr>
      <w:r>
        <w:rPr>
          <w:i/>
          <w:iCs/>
          <w:lang w:eastAsia="en-US"/>
        </w:rPr>
        <w:t>________________________________________________________________________</w:t>
      </w:r>
    </w:p>
    <w:p w14:paraId="1A136239" w14:textId="77777777" w:rsidR="00B00F5E" w:rsidRPr="00B00F5E" w:rsidRDefault="00B00F5E" w:rsidP="00835F38">
      <w:pPr>
        <w:pStyle w:val="Paragraph"/>
        <w:spacing w:before="560" w:after="0"/>
        <w:ind w:left="1134" w:right="2268"/>
        <w:rPr>
          <w:b/>
          <w:bCs/>
          <w:lang w:eastAsia="en-US"/>
        </w:rPr>
      </w:pPr>
      <w:r>
        <w:rPr>
          <w:b/>
          <w:bCs/>
          <w:lang w:eastAsia="en-US"/>
        </w:rPr>
        <w:t>Name</w:t>
      </w:r>
      <w:r w:rsidRPr="00B00F5E">
        <w:rPr>
          <w:b/>
          <w:bCs/>
          <w:lang w:eastAsia="en-US"/>
        </w:rPr>
        <w:t>:</w:t>
      </w:r>
    </w:p>
    <w:p w14:paraId="74ABDEA0" w14:textId="77777777" w:rsidR="00B00F5E" w:rsidRDefault="00B00F5E" w:rsidP="00835F38">
      <w:pPr>
        <w:pStyle w:val="Paragraph"/>
        <w:spacing w:before="0" w:after="0"/>
        <w:ind w:left="1134" w:right="2268"/>
        <w:rPr>
          <w:i/>
          <w:iCs/>
          <w:lang w:eastAsia="en-US"/>
        </w:rPr>
      </w:pPr>
      <w:r>
        <w:rPr>
          <w:i/>
          <w:iCs/>
          <w:lang w:eastAsia="en-US"/>
        </w:rPr>
        <w:t>________________________________________________________________________</w:t>
      </w:r>
    </w:p>
    <w:p w14:paraId="008889A1" w14:textId="77777777" w:rsidR="00B00F5E" w:rsidRPr="00B00F5E" w:rsidRDefault="00B00F5E" w:rsidP="00835F38">
      <w:pPr>
        <w:pStyle w:val="Paragraph"/>
        <w:spacing w:before="560" w:after="0"/>
        <w:ind w:left="1134" w:right="2268"/>
        <w:rPr>
          <w:b/>
          <w:bCs/>
          <w:lang w:eastAsia="en-US"/>
        </w:rPr>
      </w:pPr>
      <w:r>
        <w:rPr>
          <w:b/>
          <w:bCs/>
          <w:lang w:eastAsia="en-US"/>
        </w:rPr>
        <w:t>Signature</w:t>
      </w:r>
      <w:r w:rsidRPr="00B00F5E">
        <w:rPr>
          <w:b/>
          <w:bCs/>
          <w:lang w:eastAsia="en-US"/>
        </w:rPr>
        <w:t>:</w:t>
      </w:r>
    </w:p>
    <w:p w14:paraId="11148F60" w14:textId="77777777" w:rsidR="00B00F5E" w:rsidRDefault="00B00F5E" w:rsidP="00835F38">
      <w:pPr>
        <w:pStyle w:val="Paragraph"/>
        <w:spacing w:before="0" w:after="0"/>
        <w:ind w:left="1134" w:right="2268"/>
        <w:rPr>
          <w:i/>
          <w:iCs/>
          <w:lang w:eastAsia="en-US"/>
        </w:rPr>
      </w:pPr>
      <w:r>
        <w:rPr>
          <w:i/>
          <w:iCs/>
          <w:lang w:eastAsia="en-US"/>
        </w:rPr>
        <w:t>________________________________________________________________________</w:t>
      </w:r>
    </w:p>
    <w:p w14:paraId="0B25C614" w14:textId="77777777" w:rsidR="00835F38" w:rsidRDefault="00835F38" w:rsidP="00835F38">
      <w:pPr>
        <w:pStyle w:val="Paragraph"/>
        <w:spacing w:before="0" w:after="600"/>
        <w:ind w:left="1134" w:right="2268"/>
        <w:rPr>
          <w:i/>
          <w:iCs/>
          <w:lang w:eastAsia="en-US"/>
        </w:rPr>
      </w:pPr>
    </w:p>
    <w:p w14:paraId="432CA696" w14:textId="77777777" w:rsidR="00B00F5E" w:rsidRDefault="00B00F5E" w:rsidP="00B00F5E">
      <w:pPr>
        <w:pStyle w:val="Paragraph"/>
        <w:spacing w:before="400"/>
        <w:ind w:left="1134" w:right="2268"/>
        <w:rPr>
          <w:i/>
          <w:iCs/>
          <w:lang w:eastAsia="en-US"/>
        </w:rPr>
      </w:pPr>
    </w:p>
    <w:p w14:paraId="22FFA09C" w14:textId="77777777" w:rsidR="00B00F5E" w:rsidRPr="00B00F5E" w:rsidRDefault="00B00F5E" w:rsidP="00B00F5E">
      <w:pPr>
        <w:pStyle w:val="Paragraph"/>
        <w:spacing w:before="400"/>
        <w:ind w:left="1134" w:right="2268"/>
        <w:rPr>
          <w:i/>
          <w:iCs/>
          <w:lang w:eastAsia="en-US"/>
        </w:rPr>
      </w:pPr>
    </w:p>
    <w:p w14:paraId="43C14B86" w14:textId="77777777" w:rsidR="00B00F5E" w:rsidRPr="00B00F5E" w:rsidRDefault="00B00F5E" w:rsidP="00B00F5E">
      <w:pPr>
        <w:pStyle w:val="Paragraph"/>
        <w:spacing w:before="400"/>
        <w:ind w:left="1134" w:right="2268"/>
        <w:rPr>
          <w:i/>
          <w:iCs/>
          <w:lang w:eastAsia="en-US"/>
        </w:rPr>
      </w:pPr>
    </w:p>
    <w:sectPr w:rsidR="00B00F5E" w:rsidRPr="00B00F5E" w:rsidSect="00740E3D">
      <w:type w:val="continuous"/>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5B9"/>
    <w:multiLevelType w:val="hybridMultilevel"/>
    <w:tmpl w:val="AA9CA3E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F0D6CB8"/>
    <w:multiLevelType w:val="hybridMultilevel"/>
    <w:tmpl w:val="EAB01D00"/>
    <w:lvl w:ilvl="0" w:tplc="ED602508">
      <w:start w:val="1"/>
      <w:numFmt w:val="bullet"/>
      <w:lvlText w:val=""/>
      <w:lvlJc w:val="left"/>
      <w:pPr>
        <w:ind w:left="1494" w:hanging="360"/>
      </w:pPr>
      <w:rPr>
        <w:rFonts w:ascii="Symbol" w:hAnsi="Symbol" w:hint="default"/>
        <w:color w:val="00A3DB"/>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2EFF2994"/>
    <w:multiLevelType w:val="hybridMultilevel"/>
    <w:tmpl w:val="F2E26016"/>
    <w:lvl w:ilvl="0" w:tplc="08090019">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3" w15:restartNumberingAfterBreak="0">
    <w:nsid w:val="31F95F51"/>
    <w:multiLevelType w:val="hybridMultilevel"/>
    <w:tmpl w:val="F8B62156"/>
    <w:lvl w:ilvl="0" w:tplc="08090019">
      <w:start w:val="1"/>
      <w:numFmt w:val="lowerLetter"/>
      <w:lvlText w:val="%1."/>
      <w:lvlJc w:val="left"/>
      <w:pPr>
        <w:ind w:left="177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C272F2F"/>
    <w:multiLevelType w:val="hybridMultilevel"/>
    <w:tmpl w:val="AB7EA762"/>
    <w:lvl w:ilvl="0" w:tplc="08090019">
      <w:start w:val="1"/>
      <w:numFmt w:val="lowerLetter"/>
      <w:lvlText w:val="%1."/>
      <w:lvlJc w:val="left"/>
      <w:pPr>
        <w:ind w:left="177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7A2B20"/>
    <w:multiLevelType w:val="hybridMultilevel"/>
    <w:tmpl w:val="7680AD1E"/>
    <w:lvl w:ilvl="0" w:tplc="0C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3200195"/>
    <w:multiLevelType w:val="hybridMultilevel"/>
    <w:tmpl w:val="E1200584"/>
    <w:lvl w:ilvl="0" w:tplc="D2F832DC">
      <w:start w:val="1"/>
      <w:numFmt w:val="decimal"/>
      <w:pStyle w:val="bluesubhead"/>
      <w:lvlText w:val="%1."/>
      <w:lvlJc w:val="left"/>
      <w:pPr>
        <w:ind w:left="360" w:hanging="360"/>
      </w:pPr>
      <w:rPr>
        <w:rFonts w:hint="default"/>
      </w:rPr>
    </w:lvl>
    <w:lvl w:ilvl="1" w:tplc="0C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240A6A"/>
    <w:multiLevelType w:val="hybridMultilevel"/>
    <w:tmpl w:val="6EA62E9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A0937DD"/>
    <w:multiLevelType w:val="hybridMultilevel"/>
    <w:tmpl w:val="706427B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00710E8"/>
    <w:multiLevelType w:val="hybridMultilevel"/>
    <w:tmpl w:val="EB78EA10"/>
    <w:lvl w:ilvl="0" w:tplc="08090019">
      <w:start w:val="1"/>
      <w:numFmt w:val="lowerLetter"/>
      <w:lvlText w:val="%1."/>
      <w:lvlJc w:val="left"/>
      <w:pPr>
        <w:ind w:left="1777" w:hanging="360"/>
      </w:pPr>
      <w:rPr>
        <w:rFonts w:hint="default"/>
      </w:rPr>
    </w:lvl>
    <w:lvl w:ilvl="1" w:tplc="0C090003" w:tentative="1">
      <w:start w:val="1"/>
      <w:numFmt w:val="bullet"/>
      <w:lvlText w:val="o"/>
      <w:lvlJc w:val="left"/>
      <w:pPr>
        <w:ind w:left="2497" w:hanging="360"/>
      </w:pPr>
      <w:rPr>
        <w:rFonts w:ascii="Courier New" w:hAnsi="Courier New" w:cs="Courier New" w:hint="default"/>
      </w:rPr>
    </w:lvl>
    <w:lvl w:ilvl="2" w:tplc="0C090005" w:tentative="1">
      <w:start w:val="1"/>
      <w:numFmt w:val="bullet"/>
      <w:lvlText w:val=""/>
      <w:lvlJc w:val="left"/>
      <w:pPr>
        <w:ind w:left="3217" w:hanging="360"/>
      </w:pPr>
      <w:rPr>
        <w:rFonts w:ascii="Wingdings" w:hAnsi="Wingdings" w:hint="default"/>
      </w:rPr>
    </w:lvl>
    <w:lvl w:ilvl="3" w:tplc="0C090001" w:tentative="1">
      <w:start w:val="1"/>
      <w:numFmt w:val="bullet"/>
      <w:lvlText w:val=""/>
      <w:lvlJc w:val="left"/>
      <w:pPr>
        <w:ind w:left="3937" w:hanging="360"/>
      </w:pPr>
      <w:rPr>
        <w:rFonts w:ascii="Symbol" w:hAnsi="Symbol" w:hint="default"/>
      </w:rPr>
    </w:lvl>
    <w:lvl w:ilvl="4" w:tplc="0C090003" w:tentative="1">
      <w:start w:val="1"/>
      <w:numFmt w:val="bullet"/>
      <w:lvlText w:val="o"/>
      <w:lvlJc w:val="left"/>
      <w:pPr>
        <w:ind w:left="4657" w:hanging="360"/>
      </w:pPr>
      <w:rPr>
        <w:rFonts w:ascii="Courier New" w:hAnsi="Courier New" w:cs="Courier New" w:hint="default"/>
      </w:rPr>
    </w:lvl>
    <w:lvl w:ilvl="5" w:tplc="0C090005" w:tentative="1">
      <w:start w:val="1"/>
      <w:numFmt w:val="bullet"/>
      <w:lvlText w:val=""/>
      <w:lvlJc w:val="left"/>
      <w:pPr>
        <w:ind w:left="5377" w:hanging="360"/>
      </w:pPr>
      <w:rPr>
        <w:rFonts w:ascii="Wingdings" w:hAnsi="Wingdings" w:hint="default"/>
      </w:rPr>
    </w:lvl>
    <w:lvl w:ilvl="6" w:tplc="0C090001" w:tentative="1">
      <w:start w:val="1"/>
      <w:numFmt w:val="bullet"/>
      <w:lvlText w:val=""/>
      <w:lvlJc w:val="left"/>
      <w:pPr>
        <w:ind w:left="6097" w:hanging="360"/>
      </w:pPr>
      <w:rPr>
        <w:rFonts w:ascii="Symbol" w:hAnsi="Symbol" w:hint="default"/>
      </w:rPr>
    </w:lvl>
    <w:lvl w:ilvl="7" w:tplc="0C090003" w:tentative="1">
      <w:start w:val="1"/>
      <w:numFmt w:val="bullet"/>
      <w:lvlText w:val="o"/>
      <w:lvlJc w:val="left"/>
      <w:pPr>
        <w:ind w:left="6817" w:hanging="360"/>
      </w:pPr>
      <w:rPr>
        <w:rFonts w:ascii="Courier New" w:hAnsi="Courier New" w:cs="Courier New" w:hint="default"/>
      </w:rPr>
    </w:lvl>
    <w:lvl w:ilvl="8" w:tplc="0C090005" w:tentative="1">
      <w:start w:val="1"/>
      <w:numFmt w:val="bullet"/>
      <w:lvlText w:val=""/>
      <w:lvlJc w:val="left"/>
      <w:pPr>
        <w:ind w:left="7537" w:hanging="360"/>
      </w:pPr>
      <w:rPr>
        <w:rFonts w:ascii="Wingdings" w:hAnsi="Wingdings" w:hint="default"/>
      </w:rPr>
    </w:lvl>
  </w:abstractNum>
  <w:abstractNum w:abstractNumId="10" w15:restartNumberingAfterBreak="0">
    <w:nsid w:val="73443B9F"/>
    <w:multiLevelType w:val="hybridMultilevel"/>
    <w:tmpl w:val="5D98E424"/>
    <w:lvl w:ilvl="0" w:tplc="08090019">
      <w:start w:val="1"/>
      <w:numFmt w:val="lowerLetter"/>
      <w:lvlText w:val="%1."/>
      <w:lvlJc w:val="left"/>
      <w:pPr>
        <w:ind w:left="177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117764"/>
    <w:multiLevelType w:val="hybridMultilevel"/>
    <w:tmpl w:val="2794B3C6"/>
    <w:lvl w:ilvl="0" w:tplc="08090019">
      <w:start w:val="1"/>
      <w:numFmt w:val="lowerLetter"/>
      <w:lvlText w:val="%1."/>
      <w:lvlJc w:val="left"/>
      <w:pPr>
        <w:ind w:left="1777"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A53266C"/>
    <w:multiLevelType w:val="hybridMultilevel"/>
    <w:tmpl w:val="6408EA04"/>
    <w:lvl w:ilvl="0" w:tplc="08090019">
      <w:start w:val="1"/>
      <w:numFmt w:val="lowerLetter"/>
      <w:lvlText w:val="%1."/>
      <w:lvlJc w:val="left"/>
      <w:pPr>
        <w:ind w:left="177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1913374">
    <w:abstractNumId w:val="6"/>
  </w:num>
  <w:num w:numId="2" w16cid:durableId="493300091">
    <w:abstractNumId w:val="5"/>
  </w:num>
  <w:num w:numId="3" w16cid:durableId="1318221028">
    <w:abstractNumId w:val="9"/>
  </w:num>
  <w:num w:numId="4" w16cid:durableId="258563626">
    <w:abstractNumId w:val="10"/>
  </w:num>
  <w:num w:numId="5" w16cid:durableId="1091584247">
    <w:abstractNumId w:val="11"/>
  </w:num>
  <w:num w:numId="6" w16cid:durableId="587269649">
    <w:abstractNumId w:val="2"/>
  </w:num>
  <w:num w:numId="7" w16cid:durableId="228200355">
    <w:abstractNumId w:val="4"/>
  </w:num>
  <w:num w:numId="8" w16cid:durableId="1624388763">
    <w:abstractNumId w:val="3"/>
  </w:num>
  <w:num w:numId="9" w16cid:durableId="1083528757">
    <w:abstractNumId w:val="12"/>
  </w:num>
  <w:num w:numId="10" w16cid:durableId="179780403">
    <w:abstractNumId w:val="1"/>
  </w:num>
  <w:num w:numId="11" w16cid:durableId="323975836">
    <w:abstractNumId w:val="7"/>
  </w:num>
  <w:num w:numId="12" w16cid:durableId="626399868">
    <w:abstractNumId w:val="0"/>
  </w:num>
  <w:num w:numId="13" w16cid:durableId="1685127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12"/>
    <w:rsid w:val="00085AA4"/>
    <w:rsid w:val="0012372C"/>
    <w:rsid w:val="00133421"/>
    <w:rsid w:val="001F2BF3"/>
    <w:rsid w:val="001F4900"/>
    <w:rsid w:val="00303ED3"/>
    <w:rsid w:val="003422B4"/>
    <w:rsid w:val="00344446"/>
    <w:rsid w:val="003A4DC1"/>
    <w:rsid w:val="00457448"/>
    <w:rsid w:val="00477ED4"/>
    <w:rsid w:val="00491A37"/>
    <w:rsid w:val="004C7051"/>
    <w:rsid w:val="00512AEF"/>
    <w:rsid w:val="00544604"/>
    <w:rsid w:val="005604BA"/>
    <w:rsid w:val="005D66E4"/>
    <w:rsid w:val="00633BA9"/>
    <w:rsid w:val="00660668"/>
    <w:rsid w:val="006F6941"/>
    <w:rsid w:val="00740E3D"/>
    <w:rsid w:val="007878BB"/>
    <w:rsid w:val="007E689A"/>
    <w:rsid w:val="00835F38"/>
    <w:rsid w:val="00960CB7"/>
    <w:rsid w:val="00963D12"/>
    <w:rsid w:val="00993CAE"/>
    <w:rsid w:val="009B27E4"/>
    <w:rsid w:val="009D6AE8"/>
    <w:rsid w:val="00B00F5E"/>
    <w:rsid w:val="00C46CF9"/>
    <w:rsid w:val="00CB44FA"/>
    <w:rsid w:val="00D91D6D"/>
    <w:rsid w:val="00D97371"/>
    <w:rsid w:val="00DE69D8"/>
    <w:rsid w:val="00DF074E"/>
    <w:rsid w:val="00E7480F"/>
    <w:rsid w:val="00E83DA7"/>
    <w:rsid w:val="00F33777"/>
    <w:rsid w:val="00F65546"/>
    <w:rsid w:val="00F740A7"/>
    <w:rsid w:val="00FB7378"/>
    <w:rsid w:val="00FE1082"/>
    <w:rsid w:val="00FE763B"/>
    <w:rsid w:val="00FF4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83026"/>
  <w14:discardImageEditingData/>
  <w15:chartTrackingRefBased/>
  <w15:docId w15:val="{7B6AF889-1E56-4DE8-A03B-2ADF61CD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F07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in">
    <w:name w:val="Lead in"/>
    <w:basedOn w:val="Normal"/>
    <w:next w:val="Normal"/>
    <w:qFormat/>
    <w:rsid w:val="00DF074E"/>
    <w:pPr>
      <w:spacing w:before="240" w:after="120" w:line="300" w:lineRule="atLeast"/>
    </w:pPr>
    <w:rPr>
      <w:rFonts w:ascii="Open Sans" w:eastAsia="Times New Roman" w:hAnsi="Open Sans" w:cs="Open Sans"/>
      <w:b/>
      <w:bCs/>
      <w:color w:val="000000" w:themeColor="text1"/>
      <w:szCs w:val="28"/>
      <w:shd w:val="clear" w:color="auto" w:fill="FFFFFF"/>
      <w:lang w:eastAsia="en-GB"/>
    </w:rPr>
  </w:style>
  <w:style w:type="paragraph" w:customStyle="1" w:styleId="Headingstyle2">
    <w:name w:val="Heading style 2"/>
    <w:basedOn w:val="Heading2"/>
    <w:next w:val="Paragraph"/>
    <w:qFormat/>
    <w:rsid w:val="00DF074E"/>
    <w:pPr>
      <w:spacing w:before="240" w:after="120" w:line="300" w:lineRule="atLeast"/>
    </w:pPr>
    <w:rPr>
      <w:rFonts w:ascii="Open Sans" w:hAnsi="Open Sans" w:cs="Open Sans"/>
      <w:b/>
      <w:bCs/>
      <w:color w:val="000000" w:themeColor="text1"/>
      <w:sz w:val="22"/>
    </w:rPr>
  </w:style>
  <w:style w:type="paragraph" w:customStyle="1" w:styleId="Paragraph">
    <w:name w:val="Paragraph"/>
    <w:basedOn w:val="Normal"/>
    <w:qFormat/>
    <w:rsid w:val="00DF074E"/>
    <w:pPr>
      <w:spacing w:before="120" w:after="120" w:line="300" w:lineRule="atLeast"/>
    </w:pPr>
    <w:rPr>
      <w:rFonts w:ascii="Open Sans" w:eastAsia="Times New Roman" w:hAnsi="Open Sans" w:cs="Open Sans"/>
      <w:color w:val="000000" w:themeColor="text1"/>
      <w:sz w:val="20"/>
      <w:szCs w:val="22"/>
      <w:shd w:val="clear" w:color="auto" w:fill="FFFFFF"/>
      <w:lang w:eastAsia="en-GB"/>
    </w:rPr>
  </w:style>
  <w:style w:type="character" w:customStyle="1" w:styleId="Heading2Char">
    <w:name w:val="Heading 2 Char"/>
    <w:basedOn w:val="DefaultParagraphFont"/>
    <w:link w:val="Heading2"/>
    <w:uiPriority w:val="9"/>
    <w:semiHidden/>
    <w:rsid w:val="00DF074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44604"/>
    <w:pPr>
      <w:ind w:left="720"/>
      <w:contextualSpacing/>
    </w:pPr>
  </w:style>
  <w:style w:type="paragraph" w:customStyle="1" w:styleId="bluesubhead">
    <w:name w:val="blue subhead"/>
    <w:basedOn w:val="Headingstyle2"/>
    <w:qFormat/>
    <w:rsid w:val="00660668"/>
    <w:pPr>
      <w:numPr>
        <w:numId w:val="1"/>
      </w:numPr>
      <w:spacing w:before="600" w:after="480"/>
      <w:ind w:left="1531" w:right="567"/>
    </w:pPr>
    <w:rPr>
      <w:rFonts w:ascii="Open Sans SemiBold" w:hAnsi="Open Sans SemiBold" w:cs="Open Sans SemiBold"/>
      <w:color w:val="00A3DB"/>
      <w:sz w:val="24"/>
      <w:szCs w:val="24"/>
    </w:rPr>
  </w:style>
  <w:style w:type="paragraph" w:customStyle="1" w:styleId="bluesubheadnew">
    <w:name w:val="blue subhead new"/>
    <w:basedOn w:val="bluesubhead"/>
    <w:qFormat/>
    <w:rsid w:val="00660668"/>
    <w:pPr>
      <w:spacing w:before="320" w:after="200"/>
      <w:ind w:hanging="357"/>
    </w:pPr>
  </w:style>
  <w:style w:type="table" w:styleId="TableGrid">
    <w:name w:val="Table Grid"/>
    <w:basedOn w:val="TableNormal"/>
    <w:uiPriority w:val="39"/>
    <w:rsid w:val="0074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h%20Garry\Downloads\Torus_KeyControl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Torus_KeyControlPolicy.dotx</Template>
  <TotalTime>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Key-Management-Policy-Template</dc:title>
  <dc:subject/>
  <dc:creator>Zach Garry</dc:creator>
  <cp:keywords/>
  <dc:description/>
  <cp:lastModifiedBy>Smita Mainkar</cp:lastModifiedBy>
  <cp:revision>2</cp:revision>
  <dcterms:created xsi:type="dcterms:W3CDTF">2025-08-12T00:27:00Z</dcterms:created>
  <dcterms:modified xsi:type="dcterms:W3CDTF">2025-08-12T00:27:00Z</dcterms:modified>
</cp:coreProperties>
</file>